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祁麦熟</w:t>
      </w:r>
      <w:r>
        <w:rPr>
          <w:rFonts w:hint="eastAsia"/>
          <w:sz w:val="15"/>
          <w:szCs w:val="15"/>
          <w:highlight w:val="none"/>
        </w:rPr>
        <w:t>，</w:t>
      </w:r>
      <w:r>
        <w:rPr>
          <w:rFonts w:hint="eastAsia"/>
          <w:sz w:val="15"/>
          <w:szCs w:val="15"/>
          <w:highlight w:val="none"/>
          <w:lang w:val="en-US" w:eastAsia="zh-CN"/>
        </w:rPr>
        <w:t>130184198804254515</w:t>
      </w:r>
      <w:r>
        <w:rPr>
          <w:rFonts w:hint="eastAsia"/>
          <w:sz w:val="15"/>
          <w:szCs w:val="15"/>
        </w:rPr>
        <w:t xml:space="preserve">  </w:t>
      </w:r>
      <w:r>
        <w:rPr>
          <w:rFonts w:hint="eastAsia"/>
          <w:sz w:val="15"/>
          <w:szCs w:val="15"/>
          <w:lang w:val="en-US" w:eastAsia="zh-CN"/>
        </w:rPr>
        <w:t>冀A88F28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