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支伟鹏</w:t>
      </w:r>
      <w:r>
        <w:rPr>
          <w:rFonts w:hint="eastAsia"/>
          <w:sz w:val="15"/>
          <w:szCs w:val="15"/>
          <w:highlight w:val="none"/>
        </w:rPr>
        <w:t>，</w:t>
      </w:r>
      <w:r>
        <w:rPr>
          <w:rFonts w:hint="eastAsia"/>
          <w:sz w:val="15"/>
          <w:szCs w:val="15"/>
          <w:highlight w:val="none"/>
          <w:lang w:val="en-US" w:eastAsia="zh-CN"/>
        </w:rPr>
        <w:t>130184198602074516</w:t>
      </w:r>
      <w:r>
        <w:rPr>
          <w:rFonts w:hint="eastAsia"/>
          <w:sz w:val="15"/>
          <w:szCs w:val="15"/>
        </w:rPr>
        <w:t xml:space="preserve">  </w:t>
      </w:r>
      <w:r>
        <w:rPr>
          <w:rFonts w:hint="eastAsia"/>
          <w:sz w:val="15"/>
          <w:szCs w:val="15"/>
          <w:lang w:val="en-US" w:eastAsia="zh-CN"/>
        </w:rPr>
        <w:t>冀A156HS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