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王永明</w:t>
      </w:r>
      <w:r>
        <w:rPr>
          <w:rFonts w:hint="eastAsia"/>
          <w:sz w:val="15"/>
          <w:szCs w:val="15"/>
          <w:highlight w:val="none"/>
        </w:rPr>
        <w:t>，</w:t>
      </w:r>
      <w:r>
        <w:rPr>
          <w:rFonts w:hint="eastAsia"/>
          <w:sz w:val="15"/>
          <w:szCs w:val="15"/>
          <w:highlight w:val="none"/>
          <w:lang w:val="en-US" w:eastAsia="zh-CN"/>
        </w:rPr>
        <w:t>130184198402154511</w:t>
      </w:r>
      <w:r>
        <w:rPr>
          <w:rFonts w:hint="eastAsia"/>
          <w:sz w:val="15"/>
          <w:szCs w:val="15"/>
        </w:rPr>
        <w:t xml:space="preserve">  </w:t>
      </w:r>
      <w:r>
        <w:rPr>
          <w:rFonts w:hint="eastAsia"/>
          <w:sz w:val="15"/>
          <w:szCs w:val="15"/>
          <w:lang w:val="en-US" w:eastAsia="zh-CN"/>
        </w:rPr>
        <w:t>冀A4170S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