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付中立</w:t>
      </w:r>
      <w:r>
        <w:rPr>
          <w:rFonts w:hint="eastAsia"/>
          <w:sz w:val="15"/>
          <w:szCs w:val="15"/>
          <w:highlight w:val="none"/>
        </w:rPr>
        <w:t>，</w:t>
      </w:r>
      <w:r>
        <w:rPr>
          <w:rFonts w:hint="eastAsia"/>
          <w:sz w:val="15"/>
          <w:szCs w:val="15"/>
          <w:highlight w:val="none"/>
          <w:lang w:val="en-US" w:eastAsia="zh-CN"/>
        </w:rPr>
        <w:t>130184198209100618</w:t>
      </w:r>
      <w:r>
        <w:rPr>
          <w:rFonts w:hint="eastAsia"/>
          <w:sz w:val="15"/>
          <w:szCs w:val="15"/>
        </w:rPr>
        <w:t xml:space="preserve">  </w:t>
      </w:r>
      <w:r>
        <w:rPr>
          <w:rFonts w:hint="eastAsia"/>
          <w:sz w:val="15"/>
          <w:szCs w:val="15"/>
          <w:lang w:val="en-US" w:eastAsia="zh-CN"/>
        </w:rPr>
        <w:t>冀A588B5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