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何建甫</w:t>
      </w:r>
      <w:r>
        <w:rPr>
          <w:rFonts w:hint="eastAsia"/>
          <w:sz w:val="15"/>
          <w:szCs w:val="15"/>
          <w:highlight w:val="none"/>
        </w:rPr>
        <w:t>，</w:t>
      </w:r>
      <w:r>
        <w:rPr>
          <w:rFonts w:hint="eastAsia"/>
          <w:sz w:val="15"/>
          <w:szCs w:val="15"/>
          <w:highlight w:val="none"/>
          <w:lang w:val="en-US" w:eastAsia="zh-CN"/>
        </w:rPr>
        <w:t>130184198205103539</w:t>
      </w:r>
      <w:r>
        <w:rPr>
          <w:rFonts w:hint="eastAsia"/>
          <w:sz w:val="15"/>
          <w:szCs w:val="15"/>
        </w:rPr>
        <w:t xml:space="preserve">  </w:t>
      </w:r>
      <w:r>
        <w:rPr>
          <w:rFonts w:hint="eastAsia"/>
          <w:sz w:val="15"/>
          <w:szCs w:val="15"/>
          <w:lang w:val="en-US" w:eastAsia="zh-CN"/>
        </w:rPr>
        <w:t>冀AA8277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