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孙建辉</w:t>
      </w:r>
      <w:r>
        <w:rPr>
          <w:rFonts w:hint="eastAsia"/>
          <w:sz w:val="15"/>
          <w:szCs w:val="15"/>
          <w:highlight w:val="none"/>
        </w:rPr>
        <w:t>，</w:t>
      </w:r>
      <w:r>
        <w:rPr>
          <w:rFonts w:hint="eastAsia"/>
          <w:sz w:val="15"/>
          <w:szCs w:val="15"/>
          <w:highlight w:val="none"/>
          <w:lang w:val="en-US" w:eastAsia="zh-CN"/>
        </w:rPr>
        <w:t>130184197704104515</w:t>
      </w:r>
      <w:r>
        <w:rPr>
          <w:rFonts w:hint="eastAsia"/>
          <w:sz w:val="15"/>
          <w:szCs w:val="15"/>
        </w:rPr>
        <w:t xml:space="preserve">  </w:t>
      </w:r>
      <w:r>
        <w:rPr>
          <w:rFonts w:hint="eastAsia"/>
          <w:sz w:val="15"/>
          <w:szCs w:val="15"/>
          <w:lang w:val="en-US" w:eastAsia="zh-CN"/>
        </w:rPr>
        <w:t>冀A55963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