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郭建伟</w:t>
      </w:r>
      <w:r>
        <w:rPr>
          <w:rFonts w:hint="eastAsia"/>
          <w:sz w:val="15"/>
          <w:szCs w:val="15"/>
          <w:highlight w:val="none"/>
        </w:rPr>
        <w:t>，</w:t>
      </w:r>
      <w:r>
        <w:rPr>
          <w:rFonts w:hint="eastAsia"/>
          <w:sz w:val="15"/>
          <w:szCs w:val="15"/>
          <w:highlight w:val="none"/>
          <w:lang w:val="en-US" w:eastAsia="zh-CN"/>
        </w:rPr>
        <w:t>130184197511080617</w:t>
      </w:r>
      <w:r>
        <w:rPr>
          <w:rFonts w:hint="eastAsia"/>
          <w:sz w:val="15"/>
          <w:szCs w:val="15"/>
        </w:rPr>
        <w:t xml:space="preserve">  </w:t>
      </w:r>
      <w:r>
        <w:rPr>
          <w:rFonts w:hint="eastAsia"/>
          <w:sz w:val="15"/>
          <w:szCs w:val="15"/>
          <w:lang w:val="en-US" w:eastAsia="zh-CN"/>
        </w:rPr>
        <w:t>冀A329VH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