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王博暄</w:t>
      </w:r>
      <w:r>
        <w:rPr>
          <w:rFonts w:hint="eastAsia"/>
          <w:sz w:val="15"/>
          <w:szCs w:val="15"/>
          <w:highlight w:val="none"/>
        </w:rPr>
        <w:t>，</w:t>
      </w:r>
      <w:r>
        <w:rPr>
          <w:rFonts w:hint="eastAsia"/>
          <w:sz w:val="15"/>
          <w:szCs w:val="15"/>
          <w:highlight w:val="none"/>
          <w:lang w:val="en-US" w:eastAsia="zh-CN"/>
        </w:rPr>
        <w:t>13018220071205533X</w:t>
      </w:r>
      <w:r>
        <w:rPr>
          <w:rFonts w:hint="eastAsia"/>
          <w:sz w:val="15"/>
          <w:szCs w:val="15"/>
        </w:rPr>
        <w:t xml:space="preserve">  </w:t>
      </w:r>
      <w:r>
        <w:rPr>
          <w:rFonts w:hint="eastAsia"/>
          <w:sz w:val="15"/>
          <w:szCs w:val="15"/>
          <w:lang w:val="en-US" w:eastAsia="zh-CN"/>
        </w:rPr>
        <w:t>冀A936CT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