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武冉冉</w:t>
      </w:r>
      <w:r>
        <w:rPr>
          <w:rFonts w:hint="eastAsia"/>
          <w:sz w:val="15"/>
          <w:szCs w:val="15"/>
          <w:highlight w:val="none"/>
        </w:rPr>
        <w:t>，</w:t>
      </w:r>
      <w:r>
        <w:rPr>
          <w:rFonts w:hint="eastAsia"/>
          <w:sz w:val="15"/>
          <w:szCs w:val="15"/>
          <w:highlight w:val="none"/>
          <w:lang w:val="en-US" w:eastAsia="zh-CN"/>
        </w:rPr>
        <w:t>130182199410155727</w:t>
      </w:r>
      <w:r>
        <w:rPr>
          <w:rFonts w:hint="eastAsia"/>
          <w:sz w:val="15"/>
          <w:szCs w:val="15"/>
        </w:rPr>
        <w:t xml:space="preserve">  </w:t>
      </w:r>
      <w:r>
        <w:rPr>
          <w:rFonts w:hint="eastAsia"/>
          <w:sz w:val="15"/>
          <w:szCs w:val="15"/>
          <w:lang w:val="en-US" w:eastAsia="zh-CN"/>
        </w:rPr>
        <w:t>冀AMA430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