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方占伟</w:t>
      </w:r>
      <w:r>
        <w:rPr>
          <w:rFonts w:hint="eastAsia"/>
          <w:sz w:val="15"/>
          <w:szCs w:val="15"/>
          <w:highlight w:val="none"/>
        </w:rPr>
        <w:t>，</w:t>
      </w:r>
      <w:r>
        <w:rPr>
          <w:rFonts w:hint="eastAsia"/>
          <w:sz w:val="15"/>
          <w:szCs w:val="15"/>
          <w:highlight w:val="none"/>
          <w:lang w:val="en-US" w:eastAsia="zh-CN"/>
        </w:rPr>
        <w:t>130182199202035317</w:t>
      </w:r>
      <w:r>
        <w:rPr>
          <w:rFonts w:hint="eastAsia"/>
          <w:sz w:val="15"/>
          <w:szCs w:val="15"/>
        </w:rPr>
        <w:t xml:space="preserve">  </w:t>
      </w:r>
      <w:r>
        <w:rPr>
          <w:rFonts w:hint="eastAsia"/>
          <w:sz w:val="15"/>
          <w:szCs w:val="15"/>
          <w:lang w:val="en-US" w:eastAsia="zh-CN"/>
        </w:rPr>
        <w:t>冀A45K17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