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徐学锋</w:t>
      </w:r>
      <w:r>
        <w:rPr>
          <w:rFonts w:hint="eastAsia"/>
          <w:sz w:val="15"/>
          <w:szCs w:val="15"/>
          <w:highlight w:val="none"/>
        </w:rPr>
        <w:t>，</w:t>
      </w:r>
      <w:r>
        <w:rPr>
          <w:rFonts w:hint="eastAsia"/>
          <w:sz w:val="15"/>
          <w:szCs w:val="15"/>
          <w:highlight w:val="none"/>
          <w:lang w:val="en-US" w:eastAsia="zh-CN"/>
        </w:rPr>
        <w:t>130182199011041431</w:t>
      </w:r>
      <w:r>
        <w:rPr>
          <w:rFonts w:hint="eastAsia"/>
          <w:sz w:val="15"/>
          <w:szCs w:val="15"/>
        </w:rPr>
        <w:t xml:space="preserve">  </w:t>
      </w:r>
      <w:r>
        <w:rPr>
          <w:rFonts w:hint="eastAsia"/>
          <w:sz w:val="15"/>
          <w:szCs w:val="15"/>
          <w:lang w:val="en-US" w:eastAsia="zh-CN"/>
        </w:rPr>
        <w:t>冀A868B2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