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徐晓磊</w:t>
      </w:r>
      <w:r>
        <w:rPr>
          <w:rFonts w:hint="eastAsia"/>
          <w:sz w:val="15"/>
          <w:szCs w:val="15"/>
          <w:highlight w:val="none"/>
        </w:rPr>
        <w:t>，</w:t>
      </w:r>
      <w:r>
        <w:rPr>
          <w:rFonts w:hint="eastAsia"/>
          <w:sz w:val="15"/>
          <w:szCs w:val="15"/>
          <w:highlight w:val="none"/>
          <w:lang w:val="en-US" w:eastAsia="zh-CN"/>
        </w:rPr>
        <w:t>130182198412041411</w:t>
      </w:r>
      <w:r>
        <w:rPr>
          <w:rFonts w:hint="eastAsia"/>
          <w:sz w:val="15"/>
          <w:szCs w:val="15"/>
        </w:rPr>
        <w:t xml:space="preserve">  </w:t>
      </w:r>
      <w:r>
        <w:rPr>
          <w:rFonts w:hint="eastAsia"/>
          <w:sz w:val="15"/>
          <w:szCs w:val="15"/>
          <w:lang w:val="en-US" w:eastAsia="zh-CN"/>
        </w:rPr>
        <w:t>冀A9B347</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