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宋永彬</w:t>
      </w:r>
      <w:r>
        <w:rPr>
          <w:rFonts w:hint="eastAsia"/>
          <w:sz w:val="15"/>
          <w:szCs w:val="15"/>
          <w:highlight w:val="none"/>
        </w:rPr>
        <w:t>，</w:t>
      </w:r>
      <w:r>
        <w:rPr>
          <w:rFonts w:hint="eastAsia"/>
          <w:sz w:val="15"/>
          <w:szCs w:val="15"/>
          <w:highlight w:val="none"/>
          <w:lang w:val="en-US" w:eastAsia="zh-CN"/>
        </w:rPr>
        <w:t>130182198105095356</w:t>
      </w:r>
      <w:r>
        <w:rPr>
          <w:rFonts w:hint="eastAsia"/>
          <w:sz w:val="15"/>
          <w:szCs w:val="15"/>
        </w:rPr>
        <w:t xml:space="preserve">  </w:t>
      </w:r>
      <w:r>
        <w:rPr>
          <w:rFonts w:hint="eastAsia"/>
          <w:sz w:val="15"/>
          <w:szCs w:val="15"/>
          <w:lang w:val="en-US" w:eastAsia="zh-CN"/>
        </w:rPr>
        <w:t>冀AL5143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