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祁军红</w:t>
      </w:r>
      <w:r>
        <w:rPr>
          <w:rFonts w:hint="eastAsia"/>
          <w:sz w:val="15"/>
          <w:szCs w:val="15"/>
          <w:highlight w:val="none"/>
        </w:rPr>
        <w:t>，</w:t>
      </w:r>
      <w:r>
        <w:rPr>
          <w:rFonts w:hint="eastAsia"/>
          <w:sz w:val="15"/>
          <w:szCs w:val="15"/>
          <w:highlight w:val="none"/>
          <w:lang w:val="en-US" w:eastAsia="zh-CN"/>
        </w:rPr>
        <w:t>130182197303105311</w:t>
      </w:r>
      <w:r>
        <w:rPr>
          <w:rFonts w:hint="eastAsia"/>
          <w:sz w:val="15"/>
          <w:szCs w:val="15"/>
        </w:rPr>
        <w:t xml:space="preserve">  </w:t>
      </w:r>
      <w:r>
        <w:rPr>
          <w:rFonts w:hint="eastAsia"/>
          <w:sz w:val="15"/>
          <w:szCs w:val="15"/>
          <w:lang w:val="en-US" w:eastAsia="zh-CN"/>
        </w:rPr>
        <w:t>冀AX7722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