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王宏宇</w:t>
      </w:r>
      <w:r>
        <w:rPr>
          <w:rFonts w:hint="eastAsia"/>
          <w:sz w:val="15"/>
          <w:szCs w:val="15"/>
          <w:highlight w:val="none"/>
        </w:rPr>
        <w:t>，</w:t>
      </w:r>
      <w:r>
        <w:rPr>
          <w:rFonts w:hint="eastAsia"/>
          <w:sz w:val="15"/>
          <w:szCs w:val="15"/>
          <w:highlight w:val="none"/>
          <w:lang w:val="en-US" w:eastAsia="zh-CN"/>
        </w:rPr>
        <w:t>130131200710073913</w:t>
      </w:r>
      <w:r>
        <w:rPr>
          <w:rFonts w:hint="eastAsia"/>
          <w:sz w:val="15"/>
          <w:szCs w:val="15"/>
        </w:rPr>
        <w:t xml:space="preserve">  </w:t>
      </w:r>
      <w:r>
        <w:rPr>
          <w:rFonts w:hint="eastAsia"/>
          <w:sz w:val="15"/>
          <w:szCs w:val="15"/>
          <w:lang w:val="en-US" w:eastAsia="zh-CN"/>
        </w:rPr>
        <w:t>冀ANT217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