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李悦琴</w:t>
      </w:r>
      <w:r>
        <w:rPr>
          <w:rFonts w:hint="eastAsia"/>
          <w:sz w:val="15"/>
          <w:szCs w:val="15"/>
          <w:highlight w:val="none"/>
        </w:rPr>
        <w:t>，</w:t>
      </w:r>
      <w:r>
        <w:rPr>
          <w:rFonts w:hint="eastAsia"/>
          <w:sz w:val="15"/>
          <w:szCs w:val="15"/>
          <w:highlight w:val="none"/>
          <w:lang w:val="en-US" w:eastAsia="zh-CN"/>
        </w:rPr>
        <w:t>130131200609134224</w:t>
      </w:r>
      <w:r>
        <w:rPr>
          <w:rFonts w:hint="eastAsia"/>
          <w:sz w:val="15"/>
          <w:szCs w:val="15"/>
        </w:rPr>
        <w:t xml:space="preserve">  </w:t>
      </w:r>
      <w:r>
        <w:rPr>
          <w:rFonts w:hint="eastAsia"/>
          <w:sz w:val="15"/>
          <w:szCs w:val="15"/>
          <w:lang w:val="en-US" w:eastAsia="zh-CN"/>
        </w:rPr>
        <w:t>冀A9555Y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