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霍佳欣</w:t>
      </w:r>
      <w:r>
        <w:rPr>
          <w:rFonts w:hint="eastAsia"/>
          <w:sz w:val="15"/>
          <w:szCs w:val="15"/>
          <w:highlight w:val="none"/>
        </w:rPr>
        <w:t>，</w:t>
      </w:r>
      <w:r>
        <w:rPr>
          <w:rFonts w:hint="eastAsia"/>
          <w:sz w:val="15"/>
          <w:szCs w:val="15"/>
          <w:highlight w:val="none"/>
          <w:lang w:val="en-US" w:eastAsia="zh-CN"/>
        </w:rPr>
        <w:t>130131200605021521</w:t>
      </w:r>
      <w:r>
        <w:rPr>
          <w:rFonts w:hint="eastAsia"/>
          <w:sz w:val="15"/>
          <w:szCs w:val="15"/>
        </w:rPr>
        <w:t xml:space="preserve">  </w:t>
      </w:r>
      <w:r>
        <w:rPr>
          <w:rFonts w:hint="eastAsia"/>
          <w:sz w:val="15"/>
          <w:szCs w:val="15"/>
          <w:lang w:val="en-US" w:eastAsia="zh-CN"/>
        </w:rPr>
        <w:t>冀A858AD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