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刘亚帆</w:t>
      </w:r>
      <w:r>
        <w:rPr>
          <w:rFonts w:hint="eastAsia"/>
          <w:sz w:val="15"/>
          <w:szCs w:val="15"/>
          <w:highlight w:val="none"/>
        </w:rPr>
        <w:t>，</w:t>
      </w:r>
      <w:r>
        <w:rPr>
          <w:rFonts w:hint="eastAsia"/>
          <w:sz w:val="15"/>
          <w:szCs w:val="15"/>
          <w:highlight w:val="none"/>
          <w:lang w:val="en-US" w:eastAsia="zh-CN"/>
        </w:rPr>
        <w:t>130131200309194217</w:t>
      </w:r>
      <w:r>
        <w:rPr>
          <w:rFonts w:hint="eastAsia"/>
          <w:sz w:val="15"/>
          <w:szCs w:val="15"/>
        </w:rPr>
        <w:t xml:space="preserve">  </w:t>
      </w:r>
      <w:r>
        <w:rPr>
          <w:rFonts w:hint="eastAsia"/>
          <w:sz w:val="15"/>
          <w:szCs w:val="15"/>
          <w:lang w:val="en-US" w:eastAsia="zh-CN"/>
        </w:rPr>
        <w:t>沪A08905A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