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安琪</w:t>
      </w:r>
      <w:r>
        <w:rPr>
          <w:rFonts w:hint="eastAsia"/>
          <w:sz w:val="15"/>
          <w:szCs w:val="15"/>
          <w:highlight w:val="none"/>
        </w:rPr>
        <w:t>，</w:t>
      </w:r>
      <w:r>
        <w:rPr>
          <w:rFonts w:hint="eastAsia"/>
          <w:sz w:val="15"/>
          <w:szCs w:val="15"/>
          <w:highlight w:val="none"/>
          <w:lang w:val="en-US" w:eastAsia="zh-CN"/>
        </w:rPr>
        <w:t>130131199707236050</w:t>
      </w:r>
      <w:r>
        <w:rPr>
          <w:rFonts w:hint="eastAsia"/>
          <w:sz w:val="15"/>
          <w:szCs w:val="15"/>
        </w:rPr>
        <w:t xml:space="preserve">  </w:t>
      </w:r>
      <w:r>
        <w:rPr>
          <w:rFonts w:hint="eastAsia"/>
          <w:sz w:val="15"/>
          <w:szCs w:val="15"/>
          <w:lang w:val="en-US" w:eastAsia="zh-CN"/>
        </w:rPr>
        <w:t>冀A64Z94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