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肖文杰</w:t>
      </w:r>
      <w:r>
        <w:rPr>
          <w:rFonts w:hint="eastAsia"/>
          <w:sz w:val="15"/>
          <w:szCs w:val="15"/>
          <w:highlight w:val="none"/>
        </w:rPr>
        <w:t>，</w:t>
      </w:r>
      <w:r>
        <w:rPr>
          <w:rFonts w:hint="eastAsia"/>
          <w:sz w:val="15"/>
          <w:szCs w:val="15"/>
          <w:highlight w:val="none"/>
          <w:lang w:val="en-US" w:eastAsia="zh-CN"/>
        </w:rPr>
        <w:t>130131199604233914</w:t>
      </w:r>
      <w:r>
        <w:rPr>
          <w:rFonts w:hint="eastAsia"/>
          <w:sz w:val="15"/>
          <w:szCs w:val="15"/>
        </w:rPr>
        <w:t xml:space="preserve">  </w:t>
      </w:r>
      <w:r>
        <w:rPr>
          <w:rFonts w:hint="eastAsia"/>
          <w:sz w:val="15"/>
          <w:szCs w:val="15"/>
          <w:lang w:val="en-US" w:eastAsia="zh-CN"/>
        </w:rPr>
        <w:t>冀A09429D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