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曹玲玲</w:t>
      </w:r>
      <w:r>
        <w:rPr>
          <w:rFonts w:hint="eastAsia"/>
          <w:sz w:val="15"/>
          <w:szCs w:val="15"/>
          <w:highlight w:val="none"/>
        </w:rPr>
        <w:t>，</w:t>
      </w:r>
      <w:r>
        <w:rPr>
          <w:rFonts w:hint="eastAsia"/>
          <w:sz w:val="15"/>
          <w:szCs w:val="15"/>
          <w:highlight w:val="none"/>
          <w:lang w:val="en-US" w:eastAsia="zh-CN"/>
        </w:rPr>
        <w:t>130131199603081525</w:t>
      </w:r>
      <w:r>
        <w:rPr>
          <w:rFonts w:hint="eastAsia"/>
          <w:sz w:val="15"/>
          <w:szCs w:val="15"/>
        </w:rPr>
        <w:t xml:space="preserve">  </w:t>
      </w:r>
      <w:r>
        <w:rPr>
          <w:rFonts w:hint="eastAsia"/>
          <w:sz w:val="15"/>
          <w:szCs w:val="15"/>
          <w:lang w:val="en-US" w:eastAsia="zh-CN"/>
        </w:rPr>
        <w:t>冀A00276D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