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茹子奇</w:t>
      </w:r>
      <w:r>
        <w:rPr>
          <w:rFonts w:hint="eastAsia"/>
          <w:sz w:val="15"/>
          <w:szCs w:val="15"/>
          <w:highlight w:val="none"/>
        </w:rPr>
        <w:t>，</w:t>
      </w:r>
      <w:r>
        <w:rPr>
          <w:rFonts w:hint="eastAsia"/>
          <w:sz w:val="15"/>
          <w:szCs w:val="15"/>
          <w:highlight w:val="none"/>
          <w:lang w:val="en-US" w:eastAsia="zh-CN"/>
        </w:rPr>
        <w:t>13013119960115361X</w:t>
      </w:r>
      <w:r>
        <w:rPr>
          <w:rFonts w:hint="eastAsia"/>
          <w:sz w:val="15"/>
          <w:szCs w:val="15"/>
        </w:rPr>
        <w:t xml:space="preserve">  </w:t>
      </w:r>
      <w:r>
        <w:rPr>
          <w:rFonts w:hint="eastAsia"/>
          <w:sz w:val="15"/>
          <w:szCs w:val="15"/>
          <w:lang w:val="en-US" w:eastAsia="zh-CN"/>
        </w:rPr>
        <w:t>冀AA7715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