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陈佳峰</w:t>
      </w:r>
      <w:r>
        <w:rPr>
          <w:rFonts w:hint="eastAsia"/>
          <w:sz w:val="15"/>
          <w:szCs w:val="15"/>
          <w:highlight w:val="none"/>
        </w:rPr>
        <w:t>，</w:t>
      </w:r>
      <w:r>
        <w:rPr>
          <w:rFonts w:hint="eastAsia"/>
          <w:sz w:val="15"/>
          <w:szCs w:val="15"/>
          <w:highlight w:val="none"/>
          <w:lang w:val="en-US" w:eastAsia="zh-CN"/>
        </w:rPr>
        <w:t>130131199509010050</w:t>
      </w:r>
      <w:r>
        <w:rPr>
          <w:rFonts w:hint="eastAsia"/>
          <w:sz w:val="15"/>
          <w:szCs w:val="15"/>
        </w:rPr>
        <w:t xml:space="preserve">  </w:t>
      </w:r>
      <w:r>
        <w:rPr>
          <w:rFonts w:hint="eastAsia"/>
          <w:sz w:val="15"/>
          <w:szCs w:val="15"/>
          <w:lang w:val="en-US" w:eastAsia="zh-CN"/>
        </w:rPr>
        <w:t>沪A72856D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