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茹海广</w:t>
      </w:r>
      <w:r>
        <w:rPr>
          <w:rFonts w:hint="eastAsia"/>
          <w:sz w:val="15"/>
          <w:szCs w:val="15"/>
          <w:highlight w:val="none"/>
        </w:rPr>
        <w:t>，</w:t>
      </w:r>
      <w:r>
        <w:rPr>
          <w:rFonts w:hint="eastAsia"/>
          <w:sz w:val="15"/>
          <w:szCs w:val="15"/>
          <w:highlight w:val="none"/>
          <w:lang w:val="en-US" w:eastAsia="zh-CN"/>
        </w:rPr>
        <w:t>130131199409243615</w:t>
      </w:r>
      <w:r>
        <w:rPr>
          <w:rFonts w:hint="eastAsia"/>
          <w:sz w:val="15"/>
          <w:szCs w:val="15"/>
        </w:rPr>
        <w:t xml:space="preserve">  </w:t>
      </w:r>
      <w:r>
        <w:rPr>
          <w:rFonts w:hint="eastAsia"/>
          <w:sz w:val="15"/>
          <w:szCs w:val="15"/>
          <w:lang w:val="en-US" w:eastAsia="zh-CN"/>
        </w:rPr>
        <w:t>冀A5486U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