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郝晓燕</w:t>
      </w:r>
      <w:r>
        <w:rPr>
          <w:rFonts w:hint="eastAsia"/>
          <w:sz w:val="15"/>
          <w:szCs w:val="15"/>
          <w:highlight w:val="none"/>
        </w:rPr>
        <w:t>，</w:t>
      </w:r>
      <w:r>
        <w:rPr>
          <w:rFonts w:hint="eastAsia"/>
          <w:sz w:val="15"/>
          <w:szCs w:val="15"/>
          <w:highlight w:val="none"/>
          <w:lang w:val="en-US" w:eastAsia="zh-CN"/>
        </w:rPr>
        <w:t>130131199405020027</w:t>
      </w:r>
      <w:r>
        <w:rPr>
          <w:rFonts w:hint="eastAsia"/>
          <w:sz w:val="15"/>
          <w:szCs w:val="15"/>
        </w:rPr>
        <w:t xml:space="preserve">  </w:t>
      </w:r>
      <w:r>
        <w:rPr>
          <w:rFonts w:hint="eastAsia"/>
          <w:sz w:val="15"/>
          <w:szCs w:val="15"/>
          <w:lang w:val="en-US" w:eastAsia="zh-CN"/>
        </w:rPr>
        <w:t>冀A08919D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