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杨成飞</w:t>
      </w:r>
      <w:r>
        <w:rPr>
          <w:rFonts w:hint="eastAsia"/>
          <w:sz w:val="15"/>
          <w:szCs w:val="15"/>
          <w:highlight w:val="none"/>
        </w:rPr>
        <w:t>，</w:t>
      </w:r>
      <w:r>
        <w:rPr>
          <w:rFonts w:hint="eastAsia"/>
          <w:sz w:val="15"/>
          <w:szCs w:val="15"/>
          <w:highlight w:val="none"/>
          <w:lang w:val="en-US" w:eastAsia="zh-CN"/>
        </w:rPr>
        <w:t>130131199307011258</w:t>
      </w:r>
      <w:r>
        <w:rPr>
          <w:rFonts w:hint="eastAsia"/>
          <w:sz w:val="15"/>
          <w:szCs w:val="15"/>
        </w:rPr>
        <w:t xml:space="preserve">  </w:t>
      </w:r>
      <w:r>
        <w:rPr>
          <w:rFonts w:hint="eastAsia"/>
          <w:sz w:val="15"/>
          <w:szCs w:val="15"/>
          <w:lang w:val="en-US" w:eastAsia="zh-CN"/>
        </w:rPr>
        <w:t>冀A39177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