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贾红凯</w:t>
      </w:r>
      <w:r>
        <w:rPr>
          <w:rFonts w:hint="eastAsia"/>
          <w:sz w:val="15"/>
          <w:szCs w:val="15"/>
          <w:highlight w:val="none"/>
        </w:rPr>
        <w:t>，</w:t>
      </w:r>
      <w:r>
        <w:rPr>
          <w:rFonts w:hint="eastAsia"/>
          <w:sz w:val="15"/>
          <w:szCs w:val="15"/>
          <w:highlight w:val="none"/>
          <w:lang w:val="en-US" w:eastAsia="zh-CN"/>
        </w:rPr>
        <w:t>130131199304270019</w:t>
      </w:r>
      <w:r>
        <w:rPr>
          <w:rFonts w:hint="eastAsia"/>
          <w:sz w:val="15"/>
          <w:szCs w:val="15"/>
        </w:rPr>
        <w:t xml:space="preserve">  </w:t>
      </w:r>
      <w:r>
        <w:rPr>
          <w:rFonts w:hint="eastAsia"/>
          <w:sz w:val="15"/>
          <w:szCs w:val="15"/>
          <w:lang w:val="en-US" w:eastAsia="zh-CN"/>
        </w:rPr>
        <w:t>冀A34446D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