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张成伟</w:t>
      </w:r>
      <w:r>
        <w:rPr>
          <w:rFonts w:hint="eastAsia"/>
          <w:sz w:val="15"/>
          <w:szCs w:val="15"/>
          <w:highlight w:val="none"/>
        </w:rPr>
        <w:t>，</w:t>
      </w:r>
      <w:r>
        <w:rPr>
          <w:rFonts w:hint="eastAsia"/>
          <w:sz w:val="15"/>
          <w:szCs w:val="15"/>
          <w:highlight w:val="none"/>
          <w:lang w:val="en-US" w:eastAsia="zh-CN"/>
        </w:rPr>
        <w:t>130131199303224213</w:t>
      </w:r>
      <w:r>
        <w:rPr>
          <w:rFonts w:hint="eastAsia"/>
          <w:sz w:val="15"/>
          <w:szCs w:val="15"/>
        </w:rPr>
        <w:t xml:space="preserve">  </w:t>
      </w:r>
      <w:r>
        <w:rPr>
          <w:rFonts w:hint="eastAsia"/>
          <w:sz w:val="15"/>
          <w:szCs w:val="15"/>
          <w:lang w:val="en-US" w:eastAsia="zh-CN"/>
        </w:rPr>
        <w:t>冀A232NK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