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杨杰</w:t>
      </w:r>
      <w:r>
        <w:rPr>
          <w:rFonts w:hint="eastAsia"/>
          <w:sz w:val="15"/>
          <w:szCs w:val="15"/>
          <w:highlight w:val="none"/>
        </w:rPr>
        <w:t>，</w:t>
      </w:r>
      <w:r>
        <w:rPr>
          <w:rFonts w:hint="eastAsia"/>
          <w:sz w:val="15"/>
          <w:szCs w:val="15"/>
          <w:highlight w:val="none"/>
          <w:lang w:val="en-US" w:eastAsia="zh-CN"/>
        </w:rPr>
        <w:t>130131199302263616</w:t>
      </w:r>
      <w:r>
        <w:rPr>
          <w:rFonts w:hint="eastAsia"/>
          <w:sz w:val="15"/>
          <w:szCs w:val="15"/>
        </w:rPr>
        <w:t xml:space="preserve">  </w:t>
      </w:r>
      <w:r>
        <w:rPr>
          <w:rFonts w:hint="eastAsia"/>
          <w:sz w:val="15"/>
          <w:szCs w:val="15"/>
          <w:lang w:val="en-US" w:eastAsia="zh-CN"/>
        </w:rPr>
        <w:t>冀A07S64</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