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冯晓宁</w:t>
      </w:r>
      <w:r>
        <w:rPr>
          <w:rFonts w:hint="eastAsia"/>
          <w:sz w:val="15"/>
          <w:szCs w:val="15"/>
          <w:highlight w:val="none"/>
        </w:rPr>
        <w:t>，</w:t>
      </w:r>
      <w:r>
        <w:rPr>
          <w:rFonts w:hint="eastAsia"/>
          <w:sz w:val="15"/>
          <w:szCs w:val="15"/>
          <w:highlight w:val="none"/>
          <w:lang w:val="en-US" w:eastAsia="zh-CN"/>
        </w:rPr>
        <w:t>130131199206052712</w:t>
      </w:r>
      <w:r>
        <w:rPr>
          <w:rFonts w:hint="eastAsia"/>
          <w:sz w:val="15"/>
          <w:szCs w:val="15"/>
        </w:rPr>
        <w:t xml:space="preserve">  </w:t>
      </w:r>
      <w:r>
        <w:rPr>
          <w:rFonts w:hint="eastAsia"/>
          <w:sz w:val="15"/>
          <w:szCs w:val="15"/>
          <w:lang w:val="en-US" w:eastAsia="zh-CN"/>
        </w:rPr>
        <w:t>沪A20891A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