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齐阳</w:t>
      </w:r>
      <w:r>
        <w:rPr>
          <w:rFonts w:hint="eastAsia"/>
          <w:sz w:val="15"/>
          <w:szCs w:val="15"/>
          <w:highlight w:val="none"/>
        </w:rPr>
        <w:t>，</w:t>
      </w:r>
      <w:r>
        <w:rPr>
          <w:rFonts w:hint="eastAsia"/>
          <w:sz w:val="15"/>
          <w:szCs w:val="15"/>
          <w:highlight w:val="none"/>
          <w:lang w:val="en-US" w:eastAsia="zh-CN"/>
        </w:rPr>
        <w:t>130131199203060039</w:t>
      </w:r>
      <w:r>
        <w:rPr>
          <w:rFonts w:hint="eastAsia"/>
          <w:sz w:val="15"/>
          <w:szCs w:val="15"/>
        </w:rPr>
        <w:t xml:space="preserve">  </w:t>
      </w:r>
      <w:r>
        <w:rPr>
          <w:rFonts w:hint="eastAsia"/>
          <w:sz w:val="15"/>
          <w:szCs w:val="15"/>
          <w:lang w:val="en-US" w:eastAsia="zh-CN"/>
        </w:rPr>
        <w:t>冀A32847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