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胡燕彬</w:t>
      </w:r>
      <w:r>
        <w:rPr>
          <w:rFonts w:hint="eastAsia"/>
          <w:sz w:val="15"/>
          <w:szCs w:val="15"/>
          <w:highlight w:val="none"/>
        </w:rPr>
        <w:t>，</w:t>
      </w:r>
      <w:r>
        <w:rPr>
          <w:rFonts w:hint="eastAsia"/>
          <w:sz w:val="15"/>
          <w:szCs w:val="15"/>
          <w:highlight w:val="none"/>
          <w:lang w:val="en-US" w:eastAsia="zh-CN"/>
        </w:rPr>
        <w:t>130131199201123614</w:t>
      </w:r>
      <w:r>
        <w:rPr>
          <w:rFonts w:hint="eastAsia"/>
          <w:sz w:val="15"/>
          <w:szCs w:val="15"/>
        </w:rPr>
        <w:t xml:space="preserve">  </w:t>
      </w:r>
      <w:r>
        <w:rPr>
          <w:rFonts w:hint="eastAsia"/>
          <w:sz w:val="15"/>
          <w:szCs w:val="15"/>
          <w:lang w:val="en-US" w:eastAsia="zh-CN"/>
        </w:rPr>
        <w:t>沪A01251A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