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杨宁宁</w:t>
      </w:r>
      <w:r>
        <w:rPr>
          <w:rFonts w:hint="eastAsia"/>
          <w:sz w:val="15"/>
          <w:szCs w:val="15"/>
          <w:highlight w:val="none"/>
        </w:rPr>
        <w:t>，</w:t>
      </w:r>
      <w:r>
        <w:rPr>
          <w:rFonts w:hint="eastAsia"/>
          <w:sz w:val="15"/>
          <w:szCs w:val="15"/>
          <w:highlight w:val="none"/>
          <w:lang w:val="en-US" w:eastAsia="zh-CN"/>
        </w:rPr>
        <w:t>130131199112270014</w:t>
      </w:r>
      <w:r>
        <w:rPr>
          <w:rFonts w:hint="eastAsia"/>
          <w:sz w:val="15"/>
          <w:szCs w:val="15"/>
        </w:rPr>
        <w:t xml:space="preserve">  </w:t>
      </w:r>
      <w:r>
        <w:rPr>
          <w:rFonts w:hint="eastAsia"/>
          <w:sz w:val="15"/>
          <w:szCs w:val="15"/>
          <w:lang w:val="en-US" w:eastAsia="zh-CN"/>
        </w:rPr>
        <w:t>沪A79896D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