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李飞</w:t>
      </w:r>
      <w:r>
        <w:rPr>
          <w:rFonts w:hint="eastAsia"/>
          <w:sz w:val="15"/>
          <w:szCs w:val="15"/>
          <w:highlight w:val="none"/>
        </w:rPr>
        <w:t>，</w:t>
      </w:r>
      <w:r>
        <w:rPr>
          <w:rFonts w:hint="eastAsia"/>
          <w:sz w:val="15"/>
          <w:szCs w:val="15"/>
          <w:highlight w:val="none"/>
          <w:lang w:val="en-US" w:eastAsia="zh-CN"/>
        </w:rPr>
        <w:t>130131199109190611</w:t>
      </w:r>
      <w:r>
        <w:rPr>
          <w:rFonts w:hint="eastAsia"/>
          <w:sz w:val="15"/>
          <w:szCs w:val="15"/>
        </w:rPr>
        <w:t xml:space="preserve">  </w:t>
      </w:r>
      <w:r>
        <w:rPr>
          <w:rFonts w:hint="eastAsia"/>
          <w:sz w:val="15"/>
          <w:szCs w:val="15"/>
          <w:lang w:val="en-US" w:eastAsia="zh-CN"/>
        </w:rPr>
        <w:t>冀A838BW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