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檀晓艳</w:t>
      </w:r>
      <w:r>
        <w:rPr>
          <w:rFonts w:hint="eastAsia"/>
          <w:sz w:val="15"/>
          <w:szCs w:val="15"/>
          <w:highlight w:val="none"/>
        </w:rPr>
        <w:t>，</w:t>
      </w:r>
      <w:r>
        <w:rPr>
          <w:rFonts w:hint="eastAsia"/>
          <w:sz w:val="15"/>
          <w:szCs w:val="15"/>
          <w:highlight w:val="none"/>
          <w:lang w:val="en-US" w:eastAsia="zh-CN"/>
        </w:rPr>
        <w:t>13013119910514006X</w:t>
      </w:r>
      <w:r>
        <w:rPr>
          <w:rFonts w:hint="eastAsia"/>
          <w:sz w:val="15"/>
          <w:szCs w:val="15"/>
        </w:rPr>
        <w:t xml:space="preserve">  </w:t>
      </w:r>
      <w:r>
        <w:rPr>
          <w:rFonts w:hint="eastAsia"/>
          <w:sz w:val="15"/>
          <w:szCs w:val="15"/>
          <w:lang w:val="en-US" w:eastAsia="zh-CN"/>
        </w:rPr>
        <w:t>沪A73225D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