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周哲</w:t>
      </w:r>
      <w:r>
        <w:rPr>
          <w:rFonts w:hint="eastAsia"/>
          <w:sz w:val="15"/>
          <w:szCs w:val="15"/>
          <w:highlight w:val="none"/>
        </w:rPr>
        <w:t>，</w:t>
      </w:r>
      <w:r>
        <w:rPr>
          <w:rFonts w:hint="eastAsia"/>
          <w:sz w:val="15"/>
          <w:szCs w:val="15"/>
          <w:highlight w:val="none"/>
          <w:lang w:val="en-US" w:eastAsia="zh-CN"/>
        </w:rPr>
        <w:t>130131199103261511</w:t>
      </w:r>
      <w:r>
        <w:rPr>
          <w:rFonts w:hint="eastAsia"/>
          <w:sz w:val="15"/>
          <w:szCs w:val="15"/>
        </w:rPr>
        <w:t xml:space="preserve">  </w:t>
      </w:r>
      <w:r>
        <w:rPr>
          <w:rFonts w:hint="eastAsia"/>
          <w:sz w:val="15"/>
          <w:szCs w:val="15"/>
          <w:lang w:val="en-US" w:eastAsia="zh-CN"/>
        </w:rPr>
        <w:t>冀A30688D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