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杨学广</w:t>
      </w:r>
      <w:r>
        <w:rPr>
          <w:rFonts w:hint="eastAsia"/>
          <w:sz w:val="15"/>
          <w:szCs w:val="15"/>
          <w:highlight w:val="none"/>
        </w:rPr>
        <w:t>，</w:t>
      </w:r>
      <w:r>
        <w:rPr>
          <w:rFonts w:hint="eastAsia"/>
          <w:sz w:val="15"/>
          <w:szCs w:val="15"/>
          <w:highlight w:val="none"/>
          <w:lang w:val="en-US" w:eastAsia="zh-CN"/>
        </w:rPr>
        <w:t>130131199012211236</w:t>
      </w:r>
      <w:r>
        <w:rPr>
          <w:rFonts w:hint="eastAsia"/>
          <w:sz w:val="15"/>
          <w:szCs w:val="15"/>
        </w:rPr>
        <w:t xml:space="preserve">  </w:t>
      </w:r>
      <w:r>
        <w:rPr>
          <w:rFonts w:hint="eastAsia"/>
          <w:sz w:val="15"/>
          <w:szCs w:val="15"/>
          <w:lang w:val="en-US" w:eastAsia="zh-CN"/>
        </w:rPr>
        <w:t>冀A38609D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