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苏娇娇</w:t>
      </w:r>
      <w:r>
        <w:rPr>
          <w:rFonts w:hint="eastAsia"/>
          <w:sz w:val="15"/>
          <w:szCs w:val="15"/>
          <w:highlight w:val="none"/>
        </w:rPr>
        <w:t>，</w:t>
      </w:r>
      <w:r>
        <w:rPr>
          <w:rFonts w:hint="eastAsia"/>
          <w:sz w:val="15"/>
          <w:szCs w:val="15"/>
          <w:highlight w:val="none"/>
          <w:lang w:val="en-US" w:eastAsia="zh-CN"/>
        </w:rPr>
        <w:t>130131199005086027</w:t>
      </w:r>
      <w:r>
        <w:rPr>
          <w:rFonts w:hint="eastAsia"/>
          <w:sz w:val="15"/>
          <w:szCs w:val="15"/>
        </w:rPr>
        <w:t xml:space="preserve">  </w:t>
      </w:r>
      <w:r>
        <w:rPr>
          <w:rFonts w:hint="eastAsia"/>
          <w:sz w:val="15"/>
          <w:szCs w:val="15"/>
          <w:lang w:val="en-US" w:eastAsia="zh-CN"/>
        </w:rPr>
        <w:t>冀A31216D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