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赵志卫</w:t>
      </w:r>
      <w:r>
        <w:rPr>
          <w:rFonts w:hint="eastAsia"/>
          <w:sz w:val="15"/>
          <w:szCs w:val="15"/>
          <w:highlight w:val="none"/>
        </w:rPr>
        <w:t>，</w:t>
      </w:r>
      <w:r>
        <w:rPr>
          <w:rFonts w:hint="eastAsia"/>
          <w:sz w:val="15"/>
          <w:szCs w:val="15"/>
          <w:highlight w:val="none"/>
          <w:lang w:val="en-US" w:eastAsia="zh-CN"/>
        </w:rPr>
        <w:t>130131199003103647</w:t>
      </w:r>
      <w:r>
        <w:rPr>
          <w:rFonts w:hint="eastAsia"/>
          <w:sz w:val="15"/>
          <w:szCs w:val="15"/>
        </w:rPr>
        <w:t xml:space="preserve">  </w:t>
      </w:r>
      <w:r>
        <w:rPr>
          <w:rFonts w:hint="eastAsia"/>
          <w:sz w:val="15"/>
          <w:szCs w:val="15"/>
          <w:lang w:val="en-US" w:eastAsia="zh-CN"/>
        </w:rPr>
        <w:t>冀A36549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