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娄红伟</w:t>
      </w:r>
      <w:r>
        <w:rPr>
          <w:rFonts w:hint="eastAsia"/>
          <w:sz w:val="15"/>
          <w:szCs w:val="15"/>
          <w:highlight w:val="none"/>
        </w:rPr>
        <w:t>，</w:t>
      </w:r>
      <w:r>
        <w:rPr>
          <w:rFonts w:hint="eastAsia"/>
          <w:sz w:val="15"/>
          <w:szCs w:val="15"/>
          <w:highlight w:val="none"/>
          <w:lang w:val="en-US" w:eastAsia="zh-CN"/>
        </w:rPr>
        <w:t>130131199001280615</w:t>
      </w:r>
      <w:r>
        <w:rPr>
          <w:rFonts w:hint="eastAsia"/>
          <w:sz w:val="15"/>
          <w:szCs w:val="15"/>
        </w:rPr>
        <w:t xml:space="preserve">  </w:t>
      </w:r>
      <w:r>
        <w:rPr>
          <w:rFonts w:hint="eastAsia"/>
          <w:sz w:val="15"/>
          <w:szCs w:val="15"/>
          <w:lang w:val="en-US" w:eastAsia="zh-CN"/>
        </w:rPr>
        <w:t>冀A35296D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