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茹浩龙</w:t>
      </w:r>
      <w:r>
        <w:rPr>
          <w:rFonts w:hint="eastAsia"/>
          <w:sz w:val="15"/>
          <w:szCs w:val="15"/>
          <w:highlight w:val="none"/>
        </w:rPr>
        <w:t>，</w:t>
      </w:r>
      <w:r>
        <w:rPr>
          <w:rFonts w:hint="eastAsia"/>
          <w:sz w:val="15"/>
          <w:szCs w:val="15"/>
          <w:highlight w:val="none"/>
          <w:lang w:val="en-US" w:eastAsia="zh-CN"/>
        </w:rPr>
        <w:t>130131199001143610</w:t>
      </w:r>
      <w:r>
        <w:rPr>
          <w:rFonts w:hint="eastAsia"/>
          <w:sz w:val="15"/>
          <w:szCs w:val="15"/>
        </w:rPr>
        <w:t xml:space="preserve">  </w:t>
      </w:r>
      <w:r>
        <w:rPr>
          <w:rFonts w:hint="eastAsia"/>
          <w:sz w:val="15"/>
          <w:szCs w:val="15"/>
          <w:lang w:val="en-US" w:eastAsia="zh-CN"/>
        </w:rPr>
        <w:t>冀A48983D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