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孙利敏</w:t>
      </w:r>
      <w:r>
        <w:rPr>
          <w:rFonts w:hint="eastAsia"/>
          <w:sz w:val="15"/>
          <w:szCs w:val="15"/>
          <w:highlight w:val="none"/>
        </w:rPr>
        <w:t>，</w:t>
      </w:r>
      <w:r>
        <w:rPr>
          <w:rFonts w:hint="eastAsia"/>
          <w:sz w:val="15"/>
          <w:szCs w:val="15"/>
          <w:highlight w:val="none"/>
          <w:lang w:val="en-US" w:eastAsia="zh-CN"/>
        </w:rPr>
        <w:t>130131198911293613</w:t>
      </w:r>
      <w:r>
        <w:rPr>
          <w:rFonts w:hint="eastAsia"/>
          <w:sz w:val="15"/>
          <w:szCs w:val="15"/>
        </w:rPr>
        <w:t xml:space="preserve">  </w:t>
      </w:r>
      <w:r>
        <w:rPr>
          <w:rFonts w:hint="eastAsia"/>
          <w:sz w:val="15"/>
          <w:szCs w:val="15"/>
          <w:lang w:val="en-US" w:eastAsia="zh-CN"/>
        </w:rPr>
        <w:t>冀A39676D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