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周学雷</w:t>
      </w:r>
      <w:r>
        <w:rPr>
          <w:rFonts w:hint="eastAsia"/>
          <w:sz w:val="15"/>
          <w:szCs w:val="15"/>
          <w:highlight w:val="none"/>
        </w:rPr>
        <w:t>，</w:t>
      </w:r>
      <w:r>
        <w:rPr>
          <w:rFonts w:hint="eastAsia"/>
          <w:sz w:val="15"/>
          <w:szCs w:val="15"/>
          <w:highlight w:val="none"/>
          <w:lang w:val="en-US" w:eastAsia="zh-CN"/>
        </w:rPr>
        <w:t>130131198911213636</w:t>
      </w:r>
      <w:r>
        <w:rPr>
          <w:rFonts w:hint="eastAsia"/>
          <w:sz w:val="15"/>
          <w:szCs w:val="15"/>
        </w:rPr>
        <w:t xml:space="preserve">  </w:t>
      </w:r>
      <w:r>
        <w:rPr>
          <w:rFonts w:hint="eastAsia"/>
          <w:sz w:val="15"/>
          <w:szCs w:val="15"/>
          <w:lang w:val="en-US" w:eastAsia="zh-CN"/>
        </w:rPr>
        <w:t>冀A526UT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