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单晓南</w:t>
      </w:r>
      <w:r>
        <w:rPr>
          <w:rFonts w:hint="eastAsia"/>
          <w:sz w:val="15"/>
          <w:szCs w:val="15"/>
          <w:highlight w:val="none"/>
        </w:rPr>
        <w:t>，</w:t>
      </w:r>
      <w:r>
        <w:rPr>
          <w:rFonts w:hint="eastAsia"/>
          <w:sz w:val="15"/>
          <w:szCs w:val="15"/>
          <w:highlight w:val="none"/>
          <w:lang w:val="en-US" w:eastAsia="zh-CN"/>
        </w:rPr>
        <w:t>130131198911013618</w:t>
      </w:r>
      <w:r>
        <w:rPr>
          <w:rFonts w:hint="eastAsia"/>
          <w:sz w:val="15"/>
          <w:szCs w:val="15"/>
        </w:rPr>
        <w:t xml:space="preserve">  </w:t>
      </w:r>
      <w:r>
        <w:rPr>
          <w:rFonts w:hint="eastAsia"/>
          <w:sz w:val="15"/>
          <w:szCs w:val="15"/>
          <w:lang w:val="en-US" w:eastAsia="zh-CN"/>
        </w:rPr>
        <w:t>沪A15105A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