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张二伟</w:t>
      </w:r>
      <w:r>
        <w:rPr>
          <w:rFonts w:hint="eastAsia"/>
          <w:sz w:val="15"/>
          <w:szCs w:val="15"/>
          <w:highlight w:val="none"/>
        </w:rPr>
        <w:t>，</w:t>
      </w:r>
      <w:r>
        <w:rPr>
          <w:rFonts w:hint="eastAsia"/>
          <w:sz w:val="15"/>
          <w:szCs w:val="15"/>
          <w:highlight w:val="none"/>
          <w:lang w:val="en-US" w:eastAsia="zh-CN"/>
        </w:rPr>
        <w:t>130131198910294235</w:t>
      </w:r>
      <w:r>
        <w:rPr>
          <w:rFonts w:hint="eastAsia"/>
          <w:sz w:val="15"/>
          <w:szCs w:val="15"/>
        </w:rPr>
        <w:t xml:space="preserve">  </w:t>
      </w:r>
      <w:r>
        <w:rPr>
          <w:rFonts w:hint="eastAsia"/>
          <w:sz w:val="15"/>
          <w:szCs w:val="15"/>
          <w:lang w:val="en-US" w:eastAsia="zh-CN"/>
        </w:rPr>
        <w:t>冀A984PU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