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康龙龙</w:t>
      </w:r>
      <w:r>
        <w:rPr>
          <w:rFonts w:hint="eastAsia"/>
          <w:sz w:val="15"/>
          <w:szCs w:val="15"/>
          <w:highlight w:val="none"/>
        </w:rPr>
        <w:t>，</w:t>
      </w:r>
      <w:r>
        <w:rPr>
          <w:rFonts w:hint="eastAsia"/>
          <w:sz w:val="15"/>
          <w:szCs w:val="15"/>
          <w:highlight w:val="none"/>
          <w:lang w:val="en-US" w:eastAsia="zh-CN"/>
        </w:rPr>
        <w:t>130131198910244238</w:t>
      </w:r>
      <w:r>
        <w:rPr>
          <w:rFonts w:hint="eastAsia"/>
          <w:sz w:val="15"/>
          <w:szCs w:val="15"/>
        </w:rPr>
        <w:t xml:space="preserve">  </w:t>
      </w:r>
      <w:r>
        <w:rPr>
          <w:rFonts w:hint="eastAsia"/>
          <w:sz w:val="15"/>
          <w:szCs w:val="15"/>
          <w:lang w:val="en-US" w:eastAsia="zh-CN"/>
        </w:rPr>
        <w:t>冀AF2889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