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郄建科</w:t>
      </w:r>
      <w:r>
        <w:rPr>
          <w:rFonts w:hint="eastAsia"/>
          <w:sz w:val="15"/>
          <w:szCs w:val="15"/>
          <w:highlight w:val="none"/>
        </w:rPr>
        <w:t>，</w:t>
      </w:r>
      <w:r>
        <w:rPr>
          <w:rFonts w:hint="eastAsia"/>
          <w:sz w:val="15"/>
          <w:szCs w:val="15"/>
          <w:highlight w:val="none"/>
          <w:lang w:val="en-US" w:eastAsia="zh-CN"/>
        </w:rPr>
        <w:t>130131198908204237</w:t>
      </w:r>
      <w:r>
        <w:rPr>
          <w:rFonts w:hint="eastAsia"/>
          <w:sz w:val="15"/>
          <w:szCs w:val="15"/>
        </w:rPr>
        <w:t xml:space="preserve">  </w:t>
      </w:r>
      <w:r>
        <w:rPr>
          <w:rFonts w:hint="eastAsia"/>
          <w:sz w:val="15"/>
          <w:szCs w:val="15"/>
          <w:lang w:val="en-US" w:eastAsia="zh-CN"/>
        </w:rPr>
        <w:t>冀A6154C</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