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屈二霞</w:t>
      </w:r>
      <w:r>
        <w:rPr>
          <w:rFonts w:hint="eastAsia"/>
          <w:sz w:val="15"/>
          <w:szCs w:val="15"/>
          <w:highlight w:val="none"/>
        </w:rPr>
        <w:t>，</w:t>
      </w:r>
      <w:r>
        <w:rPr>
          <w:rFonts w:hint="eastAsia"/>
          <w:sz w:val="15"/>
          <w:szCs w:val="15"/>
          <w:highlight w:val="none"/>
          <w:lang w:val="en-US" w:eastAsia="zh-CN"/>
        </w:rPr>
        <w:t>130131198905103326</w:t>
      </w:r>
      <w:r>
        <w:rPr>
          <w:rFonts w:hint="eastAsia"/>
          <w:sz w:val="15"/>
          <w:szCs w:val="15"/>
        </w:rPr>
        <w:t xml:space="preserve">  </w:t>
      </w:r>
      <w:r>
        <w:rPr>
          <w:rFonts w:hint="eastAsia"/>
          <w:sz w:val="15"/>
          <w:szCs w:val="15"/>
          <w:lang w:val="en-US" w:eastAsia="zh-CN"/>
        </w:rPr>
        <w:t>冀APF710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