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郭强</w:t>
      </w:r>
      <w:r>
        <w:rPr>
          <w:rFonts w:hint="eastAsia"/>
          <w:sz w:val="15"/>
          <w:szCs w:val="15"/>
          <w:highlight w:val="none"/>
        </w:rPr>
        <w:t>，</w:t>
      </w:r>
      <w:r>
        <w:rPr>
          <w:rFonts w:hint="eastAsia"/>
          <w:sz w:val="15"/>
          <w:szCs w:val="15"/>
          <w:highlight w:val="none"/>
          <w:lang w:val="en-US" w:eastAsia="zh-CN"/>
        </w:rPr>
        <w:t>130131198905061218</w:t>
      </w:r>
      <w:r>
        <w:rPr>
          <w:rFonts w:hint="eastAsia"/>
          <w:sz w:val="15"/>
          <w:szCs w:val="15"/>
        </w:rPr>
        <w:t xml:space="preserve">  </w:t>
      </w:r>
      <w:r>
        <w:rPr>
          <w:rFonts w:hint="eastAsia"/>
          <w:sz w:val="15"/>
          <w:szCs w:val="15"/>
          <w:lang w:val="en-US" w:eastAsia="zh-CN"/>
        </w:rPr>
        <w:t>沪A98550D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