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赵文勇</w:t>
      </w:r>
      <w:r>
        <w:rPr>
          <w:rFonts w:hint="eastAsia"/>
          <w:sz w:val="15"/>
          <w:szCs w:val="15"/>
          <w:highlight w:val="none"/>
        </w:rPr>
        <w:t>，</w:t>
      </w:r>
      <w:r>
        <w:rPr>
          <w:rFonts w:hint="eastAsia"/>
          <w:sz w:val="15"/>
          <w:szCs w:val="15"/>
          <w:highlight w:val="none"/>
          <w:lang w:val="en-US" w:eastAsia="zh-CN"/>
        </w:rPr>
        <w:t>130131198904143617</w:t>
      </w:r>
      <w:r>
        <w:rPr>
          <w:rFonts w:hint="eastAsia"/>
          <w:sz w:val="15"/>
          <w:szCs w:val="15"/>
        </w:rPr>
        <w:t xml:space="preserve">  </w:t>
      </w:r>
      <w:r>
        <w:rPr>
          <w:rFonts w:hint="eastAsia"/>
          <w:sz w:val="15"/>
          <w:szCs w:val="15"/>
          <w:lang w:val="en-US" w:eastAsia="zh-CN"/>
        </w:rPr>
        <w:t>冀A7677Y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